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DBD03" w14:textId="188847F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AE3743">
        <w:t>9</w:t>
      </w:r>
      <w:r w:rsidR="00F361FA">
        <w:t>9</w:t>
      </w:r>
      <w:r w:rsidRPr="00CE0424">
        <w:tab/>
      </w:r>
      <w:r w:rsidR="00997022" w:rsidRPr="00B662AE">
        <w:rPr>
          <w:sz w:val="32"/>
        </w:rPr>
        <w:t>R2-1708634</w:t>
      </w:r>
    </w:p>
    <w:p w14:paraId="51F8CB38" w14:textId="7F3B48B0" w:rsidR="00E90E49" w:rsidRPr="00CE0424" w:rsidRDefault="008D3BF5" w:rsidP="00311702">
      <w:pPr>
        <w:pStyle w:val="3GPPHeader"/>
      </w:pPr>
      <w:r>
        <w:t>Berlin, Germany,</w:t>
      </w:r>
      <w:r w:rsidR="00AE3743">
        <w:t xml:space="preserve"> </w:t>
      </w:r>
      <w:r w:rsidR="00707282">
        <w:t>21</w:t>
      </w:r>
      <w:r w:rsidR="00B662AE" w:rsidRPr="00B662AE">
        <w:rPr>
          <w:vertAlign w:val="superscript"/>
        </w:rPr>
        <w:t>st</w:t>
      </w:r>
      <w:r w:rsidR="00B662AE">
        <w:t xml:space="preserve"> -</w:t>
      </w:r>
      <w:r w:rsidR="00AE3743">
        <w:t xml:space="preserve"> </w:t>
      </w:r>
      <w:r w:rsidR="00707282">
        <w:t>25</w:t>
      </w:r>
      <w:r w:rsidR="00AE3743" w:rsidRPr="00AE3743">
        <w:rPr>
          <w:vertAlign w:val="superscript"/>
        </w:rPr>
        <w:t>th</w:t>
      </w:r>
      <w:r w:rsidR="00AE3743">
        <w:t xml:space="preserve"> </w:t>
      </w:r>
      <w:r>
        <w:t>August</w:t>
      </w:r>
      <w:r w:rsidR="00C544E1">
        <w:t xml:space="preserve"> </w:t>
      </w:r>
      <w:r w:rsidR="00AE3743">
        <w:t>2017</w:t>
      </w:r>
    </w:p>
    <w:p w14:paraId="509906D9" w14:textId="77777777" w:rsidR="00E90E49" w:rsidRPr="00CE0424" w:rsidRDefault="00E90E49" w:rsidP="00357380">
      <w:pPr>
        <w:pStyle w:val="3GPPHeader"/>
      </w:pPr>
    </w:p>
    <w:p w14:paraId="19A89511" w14:textId="78A396EF" w:rsidR="00E90E49" w:rsidRPr="00C0133E" w:rsidRDefault="00E90E49" w:rsidP="00311702">
      <w:pPr>
        <w:pStyle w:val="3GPPHeader"/>
        <w:rPr>
          <w:sz w:val="22"/>
          <w:szCs w:val="22"/>
          <w:lang w:val="en-US"/>
        </w:rPr>
      </w:pPr>
      <w:r w:rsidRPr="00C0133E">
        <w:rPr>
          <w:sz w:val="22"/>
          <w:szCs w:val="22"/>
          <w:lang w:val="en-US"/>
        </w:rPr>
        <w:t>Agenda Item:</w:t>
      </w:r>
      <w:r w:rsidRPr="00C0133E">
        <w:rPr>
          <w:sz w:val="22"/>
          <w:szCs w:val="22"/>
          <w:lang w:val="en-US"/>
        </w:rPr>
        <w:tab/>
      </w:r>
      <w:r w:rsidR="0011723D" w:rsidRPr="00C0133E">
        <w:rPr>
          <w:sz w:val="22"/>
          <w:szCs w:val="22"/>
          <w:lang w:val="en-US"/>
        </w:rPr>
        <w:t>9.14.7</w:t>
      </w:r>
    </w:p>
    <w:p w14:paraId="736B65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A284FAC" w14:textId="6F74FD8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C6B85">
        <w:rPr>
          <w:sz w:val="22"/>
          <w:szCs w:val="22"/>
        </w:rPr>
        <w:t>I</w:t>
      </w:r>
      <w:r w:rsidR="00477C3A">
        <w:rPr>
          <w:sz w:val="22"/>
          <w:szCs w:val="22"/>
        </w:rPr>
        <w:t>ncreased</w:t>
      </w:r>
      <w:r w:rsidR="006C6B85">
        <w:rPr>
          <w:sz w:val="22"/>
          <w:szCs w:val="22"/>
        </w:rPr>
        <w:t xml:space="preserve"> PDSCH spectrum </w:t>
      </w:r>
      <w:r w:rsidR="006C6B85" w:rsidRPr="00585F57">
        <w:rPr>
          <w:sz w:val="22"/>
          <w:szCs w:val="22"/>
        </w:rPr>
        <w:t>e</w:t>
      </w:r>
      <w:r w:rsidR="00477C3A" w:rsidRPr="00585F57">
        <w:rPr>
          <w:sz w:val="22"/>
          <w:szCs w:val="22"/>
        </w:rPr>
        <w:t>fficiency</w:t>
      </w:r>
      <w:r w:rsidR="00D60867">
        <w:rPr>
          <w:sz w:val="22"/>
          <w:szCs w:val="22"/>
        </w:rPr>
        <w:t xml:space="preserve"> for BL/CE UEs</w:t>
      </w:r>
    </w:p>
    <w:p w14:paraId="778571BE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85F57">
        <w:rPr>
          <w:sz w:val="22"/>
          <w:szCs w:val="22"/>
        </w:rPr>
        <w:t>Discussion, Decision</w:t>
      </w:r>
    </w:p>
    <w:p w14:paraId="55697464" w14:textId="77777777" w:rsidR="00E90E49" w:rsidRPr="00CE0424" w:rsidRDefault="00E90E49" w:rsidP="00E90E49"/>
    <w:p w14:paraId="49A30F99" w14:textId="77777777" w:rsidR="00C24345" w:rsidRDefault="00E90E49" w:rsidP="00A2052C">
      <w:pPr>
        <w:pStyle w:val="Heading1"/>
      </w:pPr>
      <w:r w:rsidRPr="00CE0424">
        <w:t>Introduction</w:t>
      </w:r>
    </w:p>
    <w:p w14:paraId="1BB056A4" w14:textId="0A908A51" w:rsidR="00D65256" w:rsidRDefault="00D65256" w:rsidP="00D65256">
      <w:pPr>
        <w:ind w:right="-99"/>
        <w:rPr>
          <w:lang w:val="en-US"/>
        </w:rPr>
      </w:pPr>
      <w:r>
        <w:rPr>
          <w:lang w:val="en-US"/>
        </w:rPr>
        <w:t>In a new WID for Rel-15, titled “</w:t>
      </w:r>
      <w:r w:rsidRPr="00D65256">
        <w:rPr>
          <w:lang w:val="en-US"/>
        </w:rPr>
        <w:t>New WID on Even further enhanced MTC for LTE</w:t>
      </w:r>
      <w:r>
        <w:rPr>
          <w:lang w:val="en-US"/>
        </w:rPr>
        <w:t>”, there are outlined proposals on how to f</w:t>
      </w:r>
      <w:r w:rsidRPr="00D65256">
        <w:rPr>
          <w:lang w:val="en-US"/>
        </w:rPr>
        <w:t xml:space="preserve">urther improve </w:t>
      </w:r>
      <w:r>
        <w:rPr>
          <w:lang w:val="en-US"/>
        </w:rPr>
        <w:t xml:space="preserve">eMTC by </w:t>
      </w:r>
      <w:r w:rsidRPr="00D65256">
        <w:rPr>
          <w:lang w:val="en-US"/>
        </w:rPr>
        <w:t xml:space="preserve">building </w:t>
      </w:r>
      <w:r>
        <w:rPr>
          <w:lang w:val="en-US"/>
        </w:rPr>
        <w:t>up</w:t>
      </w:r>
      <w:r w:rsidRPr="00D65256">
        <w:rPr>
          <w:lang w:val="en-US"/>
        </w:rPr>
        <w:t>on the enhancements introduced in Rel-13 and Rel-14.</w:t>
      </w:r>
      <w:r>
        <w:rPr>
          <w:lang w:val="en-US"/>
        </w:rPr>
        <w:t xml:space="preserve"> One of the WI objectives concerns:</w:t>
      </w:r>
    </w:p>
    <w:p w14:paraId="45A5869C" w14:textId="4E833C62" w:rsidR="00D65256" w:rsidRDefault="00D65256" w:rsidP="00D65256">
      <w:pPr>
        <w:ind w:right="-99"/>
        <w:rPr>
          <w:rFonts w:ascii="Times New Roman" w:eastAsia="SimSun" w:hAnsi="Times New Roman"/>
          <w:b/>
          <w:lang w:eastAsia="ja-JP"/>
        </w:rPr>
      </w:pPr>
      <w:r>
        <w:rPr>
          <w:rFonts w:eastAsia="SimSun"/>
          <w:b/>
          <w:lang w:eastAsia="ja-JP"/>
        </w:rPr>
        <w:t>Improved spectral efficiency:</w:t>
      </w:r>
    </w:p>
    <w:p w14:paraId="6B61AFD2" w14:textId="77777777" w:rsidR="00D65256" w:rsidRDefault="00D65256" w:rsidP="00D65256">
      <w:pPr>
        <w:numPr>
          <w:ilvl w:val="0"/>
          <w:numId w:val="19"/>
        </w:numPr>
        <w:spacing w:after="180"/>
        <w:ind w:right="-99"/>
        <w:jc w:val="left"/>
        <w:textAlignment w:val="auto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 xml:space="preserve">Increased PDSCH spectral efficiency </w:t>
      </w:r>
      <w:r>
        <w:rPr>
          <w:rFonts w:eastAsia="SimSun"/>
          <w:color w:val="808080"/>
          <w:lang w:val="en-US" w:eastAsia="ja-JP"/>
        </w:rPr>
        <w:t>[RAN1 lead, RAN2, RAN4]</w:t>
      </w:r>
    </w:p>
    <w:p w14:paraId="1DA2FC22" w14:textId="77777777" w:rsidR="00D65256" w:rsidRDefault="00D65256" w:rsidP="00D65256">
      <w:pPr>
        <w:numPr>
          <w:ilvl w:val="1"/>
          <w:numId w:val="19"/>
        </w:numPr>
        <w:spacing w:after="180"/>
        <w:ind w:right="-99"/>
        <w:jc w:val="left"/>
        <w:textAlignment w:val="auto"/>
        <w:rPr>
          <w:rFonts w:eastAsia="SimSun"/>
          <w:lang w:val="en-US" w:eastAsia="ja-JP"/>
        </w:rPr>
      </w:pPr>
      <w:r>
        <w:rPr>
          <w:rFonts w:eastAsia="SimSun"/>
          <w:lang w:val="en-US" w:eastAsia="ja-JP"/>
        </w:rPr>
        <w:t>Specify optional support for 64QAM for unicast PDSCH (no UE peak rate increase is intended).</w:t>
      </w:r>
    </w:p>
    <w:p w14:paraId="49BF8604" w14:textId="5E96516E" w:rsidR="00D65256" w:rsidRDefault="00D65256" w:rsidP="000346FC">
      <w:pPr>
        <w:rPr>
          <w:lang w:val="en-US"/>
        </w:rPr>
      </w:pPr>
      <w:r w:rsidRPr="00D65256">
        <w:rPr>
          <w:lang w:val="en-US"/>
        </w:rPr>
        <w:t xml:space="preserve">So far, the increased spectrum efficiency for PDSCH has only been discussed in RAN1. </w:t>
      </w:r>
      <w:r>
        <w:rPr>
          <w:lang w:val="en-US"/>
        </w:rPr>
        <w:t>The work in RAN1, up until RAN1#89, has almost been concluded. Hence, in this paper, we discuss work needed in RAN2 to meet the WI objective.</w:t>
      </w:r>
    </w:p>
    <w:p w14:paraId="57172338" w14:textId="0258A793" w:rsidR="000346FC" w:rsidRDefault="00E71C9B" w:rsidP="000346FC">
      <w:pPr>
        <w:rPr>
          <w:rFonts w:ascii="Calibri" w:hAnsi="Calibri" w:cs="Calibri"/>
          <w:sz w:val="22"/>
          <w:szCs w:val="22"/>
          <w:lang w:val="en-US" w:eastAsia="sv-SE"/>
        </w:rPr>
      </w:pPr>
      <w:r>
        <w:rPr>
          <w:rFonts w:ascii="Calibri" w:hAnsi="Calibri" w:cs="Calibri"/>
          <w:sz w:val="22"/>
          <w:szCs w:val="22"/>
          <w:lang w:val="en-US" w:eastAsia="sv-SE"/>
        </w:rPr>
        <w:t xml:space="preserve">In this </w:t>
      </w:r>
      <w:r w:rsidR="00AD21B7">
        <w:rPr>
          <w:rFonts w:ascii="Calibri" w:hAnsi="Calibri" w:cs="Calibri"/>
          <w:sz w:val="22"/>
          <w:szCs w:val="22"/>
          <w:lang w:val="en-US" w:eastAsia="sv-SE"/>
        </w:rPr>
        <w:t>paper,</w:t>
      </w:r>
      <w:r>
        <w:rPr>
          <w:rFonts w:ascii="Calibri" w:hAnsi="Calibri" w:cs="Calibri"/>
          <w:sz w:val="22"/>
          <w:szCs w:val="22"/>
          <w:lang w:val="en-US" w:eastAsia="sv-SE"/>
        </w:rPr>
        <w:t xml:space="preserve"> we </w:t>
      </w:r>
      <w:r w:rsidR="00181E83">
        <w:rPr>
          <w:rFonts w:ascii="Calibri" w:hAnsi="Calibri" w:cs="Calibri"/>
          <w:sz w:val="22"/>
          <w:szCs w:val="22"/>
          <w:lang w:val="en-US" w:eastAsia="sv-SE"/>
        </w:rPr>
        <w:t>discuss increased PDSCH spectrum efficiency from a RAN2 perspective</w:t>
      </w:r>
    </w:p>
    <w:p w14:paraId="293C045E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81E943F" w14:textId="20E3CFC1" w:rsidR="00D65256" w:rsidRDefault="00D65256" w:rsidP="00D65256">
      <w:pPr>
        <w:rPr>
          <w:rFonts w:ascii="Calibri" w:hAnsi="Calibri"/>
          <w:lang w:val="en-US" w:eastAsia="sv-SE"/>
        </w:rPr>
      </w:pPr>
      <w:r>
        <w:rPr>
          <w:lang w:val="en-US"/>
        </w:rPr>
        <w:t>The status after the RAN1#89 meeting are the following agreements:</w:t>
      </w:r>
    </w:p>
    <w:p w14:paraId="16E75DA9" w14:textId="77777777" w:rsidR="00D65256" w:rsidRDefault="00D65256" w:rsidP="00D65256">
      <w:pPr>
        <w:rPr>
          <w:lang w:val="sv-SE" w:eastAsia="ja-JP"/>
        </w:rPr>
      </w:pPr>
      <w:r>
        <w:rPr>
          <w:highlight w:val="green"/>
          <w:lang w:eastAsia="ja-JP"/>
        </w:rPr>
        <w:t>Agreement:</w:t>
      </w:r>
    </w:p>
    <w:p w14:paraId="4500CAB3" w14:textId="77777777" w:rsidR="00D65256" w:rsidRDefault="00D65256" w:rsidP="00D65256">
      <w:pPr>
        <w:numPr>
          <w:ilvl w:val="0"/>
          <w:numId w:val="16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 xml:space="preserve">A capability is introduced for </w:t>
      </w:r>
      <w:r>
        <w:rPr>
          <w:highlight w:val="yellow"/>
          <w:lang w:val="en-US" w:eastAsia="ja-JP"/>
        </w:rPr>
        <w:t>Rel-15 BL/CE UEs</w:t>
      </w:r>
      <w:r>
        <w:rPr>
          <w:lang w:val="en-US" w:eastAsia="ja-JP"/>
        </w:rPr>
        <w:t xml:space="preserve"> for the support of 64QAM </w:t>
      </w:r>
      <w:r>
        <w:rPr>
          <w:color w:val="FF0000"/>
          <w:highlight w:val="yellow"/>
          <w:lang w:val="en-US" w:eastAsia="ja-JP"/>
        </w:rPr>
        <w:t>in CE Mode A without repetitions</w:t>
      </w:r>
      <w:r>
        <w:rPr>
          <w:lang w:val="en-US" w:eastAsia="ja-JP"/>
        </w:rPr>
        <w:t>.</w:t>
      </w:r>
    </w:p>
    <w:p w14:paraId="4A6D189B" w14:textId="77777777" w:rsidR="00D65256" w:rsidRDefault="00D65256" w:rsidP="00D65256">
      <w:pPr>
        <w:numPr>
          <w:ilvl w:val="0"/>
          <w:numId w:val="16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For Rel-15 BL/CE UEs, when 64QAM is enabled via higher layer configuration,</w:t>
      </w:r>
    </w:p>
    <w:p w14:paraId="5655DB82" w14:textId="77777777" w:rsidR="00D65256" w:rsidRDefault="00D65256" w:rsidP="00D65256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When the DCI indicates no PDSCH repetition,</w:t>
      </w:r>
    </w:p>
    <w:p w14:paraId="36D2E4F7" w14:textId="77777777" w:rsidR="00D65256" w:rsidRDefault="00D65256" w:rsidP="00D65256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The MCS field in DCI format 6-1A UE-specific search space is extended to 5 bits by reinterpreting the frequency hopping flag as the MSB</w:t>
      </w:r>
    </w:p>
    <w:p w14:paraId="53A6B04B" w14:textId="77777777" w:rsidR="00D65256" w:rsidRDefault="00D65256" w:rsidP="00D65256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The size of DCI format 6-1A is not changed.</w:t>
      </w:r>
    </w:p>
    <w:p w14:paraId="3CC621E9" w14:textId="77777777" w:rsidR="00D65256" w:rsidRDefault="00D65256" w:rsidP="00D65256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The modulation and TBS index table is reused from Table 7.1.7.1-1 in TS 36.213.</w:t>
      </w:r>
    </w:p>
    <w:p w14:paraId="180FBA5E" w14:textId="77777777" w:rsidR="00D65256" w:rsidRDefault="00D65256" w:rsidP="00D65256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The TBS is determined using Table 7.1.7.2.1-1 in TS 36.213 with the following restriction:</w:t>
      </w:r>
    </w:p>
    <w:p w14:paraId="2E6D7002" w14:textId="77777777" w:rsidR="00D65256" w:rsidRDefault="00D65256" w:rsidP="00D65256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The max TBS in Rel-14 is used wherever the TBS value in Table 7.1.7.2.1-1 exceeds the max TBS in Rel-14.</w:t>
      </w:r>
    </w:p>
    <w:p w14:paraId="376EB79F" w14:textId="77777777" w:rsidR="00D65256" w:rsidRDefault="00D65256" w:rsidP="00D65256">
      <w:pPr>
        <w:rPr>
          <w:lang w:val="en-US" w:eastAsia="ja-JP"/>
        </w:rPr>
      </w:pPr>
      <w:r>
        <w:rPr>
          <w:highlight w:val="darkYellow"/>
          <w:lang w:val="en-US" w:eastAsia="ja-JP"/>
        </w:rPr>
        <w:t>Working assumption:</w:t>
      </w:r>
    </w:p>
    <w:p w14:paraId="2D871FC3" w14:textId="77777777" w:rsidR="00D65256" w:rsidRDefault="00D65256" w:rsidP="00D65256">
      <w:pPr>
        <w:numPr>
          <w:ilvl w:val="0"/>
          <w:numId w:val="16"/>
        </w:numPr>
        <w:overflowPunct/>
        <w:autoSpaceDE/>
        <w:autoSpaceDN/>
        <w:adjustRightInd/>
        <w:spacing w:after="0"/>
        <w:ind w:left="144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For Rel-15 BL/CE UEs, when 64QAM is enabled via higher layer configuration,</w:t>
      </w:r>
    </w:p>
    <w:p w14:paraId="33DA3CE1" w14:textId="77777777" w:rsidR="00D65256" w:rsidRDefault="00D65256" w:rsidP="00D65256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lang w:val="en-US" w:eastAsia="ja-JP"/>
        </w:rPr>
      </w:pPr>
      <w:r>
        <w:rPr>
          <w:lang w:val="en-US" w:eastAsia="ja-JP"/>
        </w:rPr>
        <w:t>The CQI table is as below.</w:t>
      </w:r>
    </w:p>
    <w:p w14:paraId="565E50B0" w14:textId="77777777" w:rsidR="00D65256" w:rsidRDefault="00D65256" w:rsidP="00D65256">
      <w:pPr>
        <w:rPr>
          <w:lang w:val="en-US" w:eastAsia="ja-JP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D65256" w14:paraId="179D9CE0" w14:textId="77777777" w:rsidTr="005F7985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A5EAE" w14:textId="77777777" w:rsidR="00D65256" w:rsidRDefault="00D65256" w:rsidP="005F7985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F24E1" w14:textId="77777777" w:rsidR="00D65256" w:rsidRDefault="00D65256" w:rsidP="005F7985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  <w:lang w:val="sv-SE" w:eastAsia="en-GB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6CCB1" w14:textId="77777777" w:rsidR="00D65256" w:rsidRDefault="00D65256" w:rsidP="005F7985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t>code rate x 1024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t>x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US" w:eastAsia="en-US"/>
              </w:rPr>
              <w:drawing>
                <wp:inline distT="0" distB="0" distL="0" distR="0" wp14:anchorId="3CA52F23" wp14:editId="280E18AC">
                  <wp:extent cx="304800" cy="257175"/>
                  <wp:effectExtent l="0" t="0" r="0" b="0"/>
                  <wp:docPr id="2" name="Picture 2" descr="cid:image003.png@01D2E068.A6DE41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3.png@01D2E068.A6DE41D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76D02" w14:textId="77777777" w:rsidR="00D65256" w:rsidRDefault="00D65256" w:rsidP="005F7985">
            <w:pPr>
              <w:keepNext/>
              <w:jc w:val="center"/>
              <w:rPr>
                <w:rFonts w:cs="Arial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cs="Arial"/>
                <w:b/>
                <w:bCs/>
                <w:sz w:val="18"/>
                <w:szCs w:val="18"/>
                <w:lang w:eastAsia="en-GB"/>
              </w:rPr>
              <w:t>efficiency x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US" w:eastAsia="en-US"/>
              </w:rPr>
              <w:drawing>
                <wp:inline distT="0" distB="0" distL="0" distR="0" wp14:anchorId="3FD558D9" wp14:editId="76BE58EA">
                  <wp:extent cx="304800" cy="257175"/>
                  <wp:effectExtent l="0" t="0" r="0" b="0"/>
                  <wp:docPr id="1" name="Picture 1" descr="cid:image003.png@01D2E068.A6DE41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3.png@01D2E068.A6DE41D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65256" w14:paraId="4369338D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80B3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37F59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out of range</w:t>
            </w:r>
          </w:p>
        </w:tc>
      </w:tr>
      <w:tr w:rsidR="00D65256" w14:paraId="7A47FA38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B873C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FC890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05E5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4E3E8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0.0781</w:t>
            </w:r>
          </w:p>
        </w:tc>
      </w:tr>
      <w:tr w:rsidR="00D65256" w14:paraId="3790C37F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7265D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868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14448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56A6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0.1523</w:t>
            </w:r>
          </w:p>
        </w:tc>
      </w:tr>
      <w:tr w:rsidR="00D65256" w14:paraId="43037625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8A831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93D76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B3A8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3FB10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0.2344</w:t>
            </w:r>
          </w:p>
        </w:tc>
      </w:tr>
      <w:tr w:rsidR="00D65256" w14:paraId="3F869625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84167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2160F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53137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DD6CF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0.3770</w:t>
            </w:r>
          </w:p>
        </w:tc>
      </w:tr>
      <w:tr w:rsidR="00D65256" w14:paraId="4A5AA3F2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AE634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2DC9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F4A23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C23E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0.6016</w:t>
            </w:r>
          </w:p>
        </w:tc>
      </w:tr>
      <w:tr w:rsidR="00D65256" w14:paraId="47CC7848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04FE3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56A31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7B285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84E32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0.8770</w:t>
            </w:r>
          </w:p>
        </w:tc>
      </w:tr>
      <w:tr w:rsidR="00D65256" w14:paraId="64E66403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F2AC4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8550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C83C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590F1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1.1758</w:t>
            </w:r>
          </w:p>
        </w:tc>
      </w:tr>
      <w:tr w:rsidR="00D65256" w14:paraId="43CFBCBC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7A798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709F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E6E16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2122B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1.4766</w:t>
            </w:r>
          </w:p>
        </w:tc>
      </w:tr>
      <w:tr w:rsidR="00D65256" w14:paraId="7DEEBBDC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84C38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0C49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333F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E6E6B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1.9141</w:t>
            </w:r>
          </w:p>
        </w:tc>
      </w:tr>
      <w:tr w:rsidR="00D65256" w14:paraId="7DD5EEB7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9E194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D1F0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  <w:r>
              <w:rPr>
                <w:rFonts w:cs="Arial"/>
                <w:sz w:val="18"/>
                <w:szCs w:val="18"/>
                <w:lang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5E8F7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6FA1D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2.4063</w:t>
            </w:r>
          </w:p>
        </w:tc>
      </w:tr>
      <w:tr w:rsidR="00D65256" w14:paraId="24B78959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3EDED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B5D76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52D4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F7C7C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2.7305</w:t>
            </w:r>
          </w:p>
        </w:tc>
      </w:tr>
      <w:tr w:rsidR="00D65256" w14:paraId="57D9DE19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EF2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07500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5712B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3553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3.3223</w:t>
            </w:r>
          </w:p>
        </w:tc>
      </w:tr>
      <w:tr w:rsidR="00D65256" w14:paraId="538C7387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A563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C430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54C76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341B4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3.9023</w:t>
            </w:r>
          </w:p>
        </w:tc>
      </w:tr>
      <w:tr w:rsidR="00D65256" w14:paraId="0D78AF83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8D36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36D62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4DA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8B01A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4.5234</w:t>
            </w:r>
          </w:p>
        </w:tc>
      </w:tr>
      <w:tr w:rsidR="00D65256" w14:paraId="7CA0B74E" w14:textId="77777777" w:rsidTr="005F7985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1F4CD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lang w:eastAsia="en-GB"/>
              </w:rPr>
            </w:pPr>
            <w:r>
              <w:rPr>
                <w:rFonts w:cs="Arial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94FDE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9A0A2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44E68" w14:textId="77777777" w:rsidR="00D65256" w:rsidRDefault="00D65256" w:rsidP="005F7985">
            <w:pPr>
              <w:keepNext/>
              <w:jc w:val="center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>
              <w:rPr>
                <w:rFonts w:cs="Arial"/>
                <w:sz w:val="18"/>
                <w:szCs w:val="18"/>
                <w:highlight w:val="yellow"/>
                <w:lang w:eastAsia="en-GB"/>
              </w:rPr>
              <w:t>5.1152</w:t>
            </w:r>
          </w:p>
        </w:tc>
      </w:tr>
    </w:tbl>
    <w:p w14:paraId="48403060" w14:textId="77777777" w:rsidR="00D65256" w:rsidRDefault="00D65256" w:rsidP="00CE0424">
      <w:pPr>
        <w:pStyle w:val="BodyText"/>
      </w:pPr>
    </w:p>
    <w:p w14:paraId="7356D873" w14:textId="7AA03FA8" w:rsidR="00C56872" w:rsidRDefault="004D2F58" w:rsidP="00CE0424">
      <w:pPr>
        <w:pStyle w:val="BodyText"/>
      </w:pPr>
      <w:r>
        <w:t xml:space="preserve">The above agreement from RAN1 comprises lower </w:t>
      </w:r>
      <w:r w:rsidR="00B55174">
        <w:t xml:space="preserve">layer </w:t>
      </w:r>
      <w:r>
        <w:t xml:space="preserve">functionality for 64QAM in PDSCH. </w:t>
      </w:r>
      <w:r w:rsidR="00FC688E">
        <w:t xml:space="preserve"> In </w:t>
      </w:r>
      <w:r w:rsidR="00021B03">
        <w:t>short,</w:t>
      </w:r>
      <w:r w:rsidR="00FC688E">
        <w:t xml:space="preserve"> the agreement </w:t>
      </w:r>
      <w:r w:rsidR="00325F71">
        <w:t>says that i</w:t>
      </w:r>
      <w:r w:rsidR="00FD7F01">
        <w:t>f radio conditions are good enough</w:t>
      </w:r>
      <w:r w:rsidR="00F7048A">
        <w:t>, i.e. where no repetitions are needed,</w:t>
      </w:r>
      <w:r w:rsidR="00FD7F01">
        <w:t xml:space="preserve"> the eNB </w:t>
      </w:r>
      <w:r w:rsidR="00D65256">
        <w:t>may</w:t>
      </w:r>
      <w:r w:rsidR="00FD7F01">
        <w:t xml:space="preserve"> use 64QAM for DL transmissions</w:t>
      </w:r>
      <w:r w:rsidR="00D65256">
        <w:t xml:space="preserve"> and the UE needs to be prepared to receive with the new modulation</w:t>
      </w:r>
      <w:r w:rsidR="00FD7F01">
        <w:t xml:space="preserve">. </w:t>
      </w:r>
      <w:r w:rsidR="00021B03">
        <w:t>To</w:t>
      </w:r>
      <w:r w:rsidR="00325F71">
        <w:t xml:space="preserve"> make use of the higher modulation, changes to CQI measurements are needed.</w:t>
      </w:r>
      <w:r w:rsidR="00D21A75">
        <w:t xml:space="preserve"> </w:t>
      </w:r>
      <w:r w:rsidR="00181E83">
        <w:t>Note that the agreed change</w:t>
      </w:r>
      <w:r w:rsidR="00D65256">
        <w:t>s</w:t>
      </w:r>
      <w:r w:rsidR="00181E83">
        <w:t xml:space="preserve"> do not result in increased peak bit rate. This since </w:t>
      </w:r>
      <w:r w:rsidR="00181E83" w:rsidRPr="00181E83">
        <w:t xml:space="preserve">the maximum transport block sizes </w:t>
      </w:r>
      <w:r w:rsidR="00181E83">
        <w:t>will</w:t>
      </w:r>
      <w:r w:rsidR="00181E83" w:rsidRPr="00181E83">
        <w:t xml:space="preserve"> be retained also </w:t>
      </w:r>
      <w:r w:rsidR="00B55174">
        <w:t>for</w:t>
      </w:r>
      <w:r w:rsidR="00181E83" w:rsidRPr="00181E83">
        <w:t xml:space="preserve"> 64QAM</w:t>
      </w:r>
      <w:r w:rsidR="00181E83">
        <w:t xml:space="preserve">. </w:t>
      </w:r>
    </w:p>
    <w:p w14:paraId="7E80506D" w14:textId="75559365" w:rsidR="0027144F" w:rsidRDefault="00181E83" w:rsidP="00CE0424">
      <w:pPr>
        <w:pStyle w:val="BodyText"/>
      </w:pPr>
      <w:r>
        <w:t>Some rule is needed to</w:t>
      </w:r>
      <w:r w:rsidRPr="00181E83">
        <w:t xml:space="preserve"> make sure the TBS are limited accordingly depending on the UE category and/or configured bandwidth</w:t>
      </w:r>
      <w:r w:rsidR="00C56872">
        <w:t xml:space="preserve">. </w:t>
      </w:r>
      <w:r>
        <w:t>Also, s</w:t>
      </w:r>
      <w:r w:rsidR="004D2F58">
        <w:t xml:space="preserve">ome check of CE level is needed </w:t>
      </w:r>
      <w:r w:rsidR="00B6659B">
        <w:t xml:space="preserve">since </w:t>
      </w:r>
      <w:r w:rsidR="00B6659B" w:rsidRPr="00B6659B">
        <w:t>RAN1 has agreed that 64QAM can only be used when the DCI indicates that PDSCH is transmitted without repetitions</w:t>
      </w:r>
      <w:r w:rsidR="004D2F58">
        <w:t>.</w:t>
      </w:r>
      <w:r w:rsidR="00C56872">
        <w:t xml:space="preserve"> </w:t>
      </w:r>
      <w:r w:rsidR="005624EC">
        <w:t>Most changes are captured in RAN1 specifications.</w:t>
      </w:r>
      <w:r w:rsidR="00FB2618">
        <w:t xml:space="preserve"> However,</w:t>
      </w:r>
      <w:r w:rsidR="00C56872">
        <w:t xml:space="preserve"> necessary UE configurations are needed </w:t>
      </w:r>
      <w:r w:rsidR="00021B03">
        <w:t>to</w:t>
      </w:r>
      <w:r w:rsidR="00C56872">
        <w:t xml:space="preserve"> be able to setup communication with 64QAM.</w:t>
      </w:r>
      <w:r w:rsidR="005F2DB6">
        <w:t xml:space="preserve"> </w:t>
      </w:r>
    </w:p>
    <w:p w14:paraId="6F048D7D" w14:textId="77777777" w:rsidR="00B662AE" w:rsidRDefault="00B662AE" w:rsidP="00CE0424">
      <w:pPr>
        <w:pStyle w:val="BodyText"/>
      </w:pPr>
    </w:p>
    <w:p w14:paraId="51986358" w14:textId="0A01E21B" w:rsidR="00181E83" w:rsidRDefault="00181E83" w:rsidP="00181E83">
      <w:pPr>
        <w:pStyle w:val="Observation"/>
      </w:pPr>
      <w:bookmarkStart w:id="2" w:name="_Toc347823812"/>
      <w:bookmarkStart w:id="3" w:name="_Toc347823993"/>
      <w:bookmarkStart w:id="4" w:name="_Toc347824244"/>
      <w:bookmarkStart w:id="5" w:name="_Toc486514172"/>
      <w:bookmarkStart w:id="6" w:name="_Toc487027358"/>
      <w:bookmarkStart w:id="7" w:name="_Toc489960526"/>
      <w:bookmarkStart w:id="8" w:name="_Toc489961362"/>
      <w:bookmarkStart w:id="9" w:name="_Toc490213052"/>
      <w:r>
        <w:t>A UE capability to support 64QAM PDSCH is needed.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03F9508" w14:textId="515F0C3E" w:rsidR="00181E83" w:rsidRDefault="00181E83" w:rsidP="00181E83">
      <w:pPr>
        <w:pStyle w:val="Observation"/>
      </w:pPr>
      <w:bookmarkStart w:id="10" w:name="_Toc486514173"/>
      <w:bookmarkStart w:id="11" w:name="_Toc490213053"/>
      <w:bookmarkStart w:id="12" w:name="_Toc487027359"/>
      <w:bookmarkStart w:id="13" w:name="_Toc489960527"/>
      <w:bookmarkStart w:id="14" w:name="_Toc489961363"/>
      <w:r>
        <w:t>Configuration options for CQI needs to be added</w:t>
      </w:r>
      <w:r w:rsidR="00F7048A">
        <w:t xml:space="preserve">; </w:t>
      </w:r>
      <w:r w:rsidR="0060106F">
        <w:t>addition</w:t>
      </w:r>
      <w:r w:rsidR="00F7048A">
        <w:t xml:space="preserve"> involves </w:t>
      </w:r>
      <w:r w:rsidR="0060106F">
        <w:t>new CQI</w:t>
      </w:r>
      <w:r w:rsidR="00F7048A">
        <w:t xml:space="preserve"> </w:t>
      </w:r>
      <w:r w:rsidR="0060106F">
        <w:t>indices</w:t>
      </w:r>
      <w:r w:rsidR="00F7048A">
        <w:t xml:space="preserve"> 11-15 in the table above</w:t>
      </w:r>
      <w:r w:rsidR="000F697E">
        <w:t xml:space="preserve">, </w:t>
      </w:r>
      <w:r w:rsidR="00B6659B">
        <w:t xml:space="preserve">changes that are handled by </w:t>
      </w:r>
      <w:r w:rsidR="000F697E">
        <w:t>RAN1</w:t>
      </w:r>
      <w:bookmarkEnd w:id="10"/>
      <w:bookmarkEnd w:id="11"/>
      <w:r w:rsidR="00F7048A">
        <w:t xml:space="preserve"> </w:t>
      </w:r>
      <w:bookmarkEnd w:id="12"/>
      <w:bookmarkEnd w:id="13"/>
      <w:bookmarkEnd w:id="14"/>
    </w:p>
    <w:p w14:paraId="57AD8A61" w14:textId="725CE9B5" w:rsidR="00C70B02" w:rsidRPr="00CE0424" w:rsidRDefault="00F53764" w:rsidP="00181E83">
      <w:pPr>
        <w:pStyle w:val="Observation"/>
      </w:pPr>
      <w:bookmarkStart w:id="15" w:name="_Toc486514174"/>
      <w:bookmarkStart w:id="16" w:name="_Toc487027360"/>
      <w:bookmarkStart w:id="17" w:name="_Toc489960528"/>
      <w:bookmarkStart w:id="18" w:name="_Toc489961364"/>
      <w:bookmarkStart w:id="19" w:name="_Toc490213054"/>
      <w:r>
        <w:t xml:space="preserve">RAN1 has agreed that </w:t>
      </w:r>
      <w:r w:rsidR="00E2191F">
        <w:t>64QAM can only be used when the DCI indicates that PDSCH is transmitted without repetitions.</w:t>
      </w:r>
      <w:bookmarkEnd w:id="15"/>
      <w:bookmarkEnd w:id="16"/>
      <w:bookmarkEnd w:id="17"/>
      <w:bookmarkEnd w:id="18"/>
      <w:bookmarkEnd w:id="19"/>
    </w:p>
    <w:p w14:paraId="7E48A102" w14:textId="77777777" w:rsidR="00181E83" w:rsidRPr="00CE0424" w:rsidRDefault="00181E83" w:rsidP="00CE0424">
      <w:pPr>
        <w:pStyle w:val="BodyText"/>
      </w:pPr>
    </w:p>
    <w:p w14:paraId="1B9A7457" w14:textId="3B5AB191" w:rsidR="00287838" w:rsidRDefault="00477C3A" w:rsidP="00A04F49">
      <w:pPr>
        <w:pStyle w:val="Proposal"/>
      </w:pPr>
      <w:bookmarkStart w:id="20" w:name="_Toc347823621"/>
      <w:bookmarkStart w:id="21" w:name="_Toc347824073"/>
      <w:bookmarkStart w:id="22" w:name="_Toc347824246"/>
      <w:bookmarkStart w:id="23" w:name="_Toc486514176"/>
      <w:bookmarkStart w:id="24" w:name="_Toc487027362"/>
      <w:bookmarkStart w:id="25" w:name="_Toc489960534"/>
      <w:bookmarkStart w:id="26" w:name="_Toc489961365"/>
      <w:bookmarkStart w:id="27" w:name="_Toc490213079"/>
      <w:r>
        <w:t>Add necessary support</w:t>
      </w:r>
      <w:r w:rsidR="000F697E">
        <w:t xml:space="preserve"> for 64QAM</w:t>
      </w:r>
      <w:r w:rsidR="00181E83">
        <w:t xml:space="preserve">, i.e. </w:t>
      </w:r>
      <w:r w:rsidR="00710F42">
        <w:t xml:space="preserve">new </w:t>
      </w:r>
      <w:r w:rsidR="00181E83">
        <w:t>UE capability</w:t>
      </w:r>
      <w:r w:rsidR="00597398">
        <w:t>,</w:t>
      </w:r>
      <w:r>
        <w:t xml:space="preserve"> in </w:t>
      </w:r>
      <w:r w:rsidR="00181E83">
        <w:t>36.331</w:t>
      </w:r>
      <w:r>
        <w:t xml:space="preserve"> specification</w:t>
      </w:r>
      <w:r w:rsidR="00CC2011" w:rsidRPr="00A04F49">
        <w:t>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="00092D8D">
        <w:t xml:space="preserve"> </w:t>
      </w:r>
    </w:p>
    <w:p w14:paraId="59BDDBE5" w14:textId="77777777" w:rsidR="00B662AE" w:rsidRDefault="00B662AE" w:rsidP="00D21A75">
      <w:pPr>
        <w:pStyle w:val="BodyText"/>
      </w:pPr>
    </w:p>
    <w:p w14:paraId="33B30618" w14:textId="1409DF07" w:rsidR="00D21A75" w:rsidRPr="00D21A75" w:rsidRDefault="00D21A75" w:rsidP="00D21A75">
      <w:pPr>
        <w:pStyle w:val="BodyText"/>
      </w:pPr>
      <w:r w:rsidRPr="00D21A75">
        <w:t xml:space="preserve">Note that </w:t>
      </w:r>
      <w:r>
        <w:t xml:space="preserve">the agreement is for </w:t>
      </w:r>
      <w:r w:rsidRPr="00D21A75">
        <w:t>“Rel-15 BL/CE UEs”</w:t>
      </w:r>
      <w:r>
        <w:t>. This means</w:t>
      </w:r>
      <w:r w:rsidRPr="00D21A75">
        <w:t xml:space="preserve"> that it should apply to all UEs configured </w:t>
      </w:r>
      <w:r>
        <w:t xml:space="preserve">in CE Mode A, not just Cat M*. </w:t>
      </w:r>
    </w:p>
    <w:p w14:paraId="2DD43876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67554471" w14:textId="3DC6EBBD" w:rsidR="00597398" w:rsidRPr="00597398" w:rsidRDefault="008E065E">
      <w:pPr>
        <w:pStyle w:val="TOC1"/>
        <w:rPr>
          <w:b w:val="0"/>
        </w:rPr>
      </w:pPr>
      <w:r w:rsidRPr="00597398">
        <w:rPr>
          <w:b w:val="0"/>
        </w:rPr>
        <w:t xml:space="preserve">In section </w:t>
      </w:r>
      <w:r w:rsidRPr="00597398">
        <w:rPr>
          <w:b w:val="0"/>
          <w:highlight w:val="cyan"/>
        </w:rPr>
        <w:fldChar w:fldCharType="begin"/>
      </w:r>
      <w:r w:rsidRPr="00597398">
        <w:rPr>
          <w:b w:val="0"/>
        </w:rPr>
        <w:instrText xml:space="preserve"> REF _Ref178064866 \r \h </w:instrText>
      </w:r>
      <w:r w:rsidR="00597398">
        <w:rPr>
          <w:b w:val="0"/>
          <w:highlight w:val="cyan"/>
        </w:rPr>
        <w:instrText xml:space="preserve"> \* MERGEFORMAT </w:instrText>
      </w:r>
      <w:r w:rsidRPr="00597398">
        <w:rPr>
          <w:b w:val="0"/>
          <w:highlight w:val="cyan"/>
        </w:rPr>
      </w:r>
      <w:r w:rsidRPr="00597398">
        <w:rPr>
          <w:b w:val="0"/>
          <w:highlight w:val="cyan"/>
        </w:rPr>
        <w:fldChar w:fldCharType="separate"/>
      </w:r>
      <w:r w:rsidR="00F361FA" w:rsidRPr="00597398">
        <w:rPr>
          <w:b w:val="0"/>
        </w:rPr>
        <w:t>2</w:t>
      </w:r>
      <w:r w:rsidRPr="00597398">
        <w:rPr>
          <w:b w:val="0"/>
          <w:highlight w:val="cyan"/>
        </w:rPr>
        <w:fldChar w:fldCharType="end"/>
      </w:r>
      <w:r w:rsidRPr="00597398">
        <w:rPr>
          <w:b w:val="0"/>
        </w:rPr>
        <w:t xml:space="preserve"> we made the following observations:</w:t>
      </w:r>
    </w:p>
    <w:p w14:paraId="3909DDDE" w14:textId="1A5FC6AB" w:rsidR="00597398" w:rsidRPr="00597398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597398">
        <w:t>Observation 1</w:t>
      </w:r>
      <w:r w:rsidR="00597398" w:rsidRPr="0059739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597398">
        <w:t>A UE capability to support for 64QAM PDSCH is needed.</w:t>
      </w:r>
    </w:p>
    <w:p w14:paraId="4A91580D" w14:textId="77777777" w:rsidR="00597398" w:rsidRPr="00597398" w:rsidRDefault="005973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A8517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Configuration options for CQI needs to be added; addition involves new CQI indices 11-15 in the table above, changes that are handled by RAN1</w:t>
      </w:r>
    </w:p>
    <w:p w14:paraId="44EBD2B9" w14:textId="77777777" w:rsidR="00597398" w:rsidRPr="00597398" w:rsidRDefault="005973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3</w:t>
      </w:r>
      <w:r w:rsidRPr="00A8517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RAN1 has agreed that 64QAM can only be used when the DCI indicates that PDSCH is transmitted without repetitions.</w:t>
      </w:r>
    </w:p>
    <w:p w14:paraId="5493AEBA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CF82992" w14:textId="77777777" w:rsidR="00597398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F361FA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475FA2A6" w14:textId="77777777" w:rsidR="00597398" w:rsidRPr="00597398" w:rsidRDefault="0059739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597398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Add necessary support for 64QAM, i.e. new UE capability, in 36.331 specification.</w:t>
      </w:r>
    </w:p>
    <w:p w14:paraId="612FBD4E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F7E45C1" w14:textId="59B2B203" w:rsidR="008E065E" w:rsidRPr="00710F42" w:rsidRDefault="00710F42" w:rsidP="008E065E">
      <w:pPr>
        <w:rPr>
          <w:bCs/>
        </w:rPr>
      </w:pPr>
      <w:r w:rsidRPr="00710F42">
        <w:rPr>
          <w:bCs/>
        </w:rPr>
        <w:t>Text proposal</w:t>
      </w:r>
      <w:r w:rsidR="00B662AE">
        <w:rPr>
          <w:bCs/>
        </w:rPr>
        <w:t xml:space="preserve"> is </w:t>
      </w:r>
      <w:r w:rsidRPr="00710F42">
        <w:rPr>
          <w:bCs/>
        </w:rPr>
        <w:t xml:space="preserve">provided </w:t>
      </w:r>
      <w:r w:rsidR="00B662AE">
        <w:rPr>
          <w:bCs/>
        </w:rPr>
        <w:t xml:space="preserve">in </w:t>
      </w:r>
      <w:r w:rsidR="000F697E">
        <w:rPr>
          <w:bCs/>
        </w:rPr>
        <w:t xml:space="preserve">a </w:t>
      </w:r>
      <w:r w:rsidR="00B662AE">
        <w:rPr>
          <w:bCs/>
        </w:rPr>
        <w:t>36.331 CR [3]</w:t>
      </w:r>
      <w:r w:rsidR="000F697E">
        <w:rPr>
          <w:bCs/>
        </w:rPr>
        <w:t>.</w:t>
      </w:r>
    </w:p>
    <w:p w14:paraId="7970A8E0" w14:textId="77777777" w:rsidR="00F507D1" w:rsidRPr="00CE0424" w:rsidRDefault="00F507D1" w:rsidP="00CE0424">
      <w:pPr>
        <w:pStyle w:val="Heading1"/>
      </w:pPr>
      <w:bookmarkStart w:id="28" w:name="_In-sequence_SDU_delivery"/>
      <w:bookmarkEnd w:id="28"/>
      <w:r w:rsidRPr="00CE0424">
        <w:t>References</w:t>
      </w:r>
    </w:p>
    <w:bookmarkStart w:id="29" w:name="_Ref453835673"/>
    <w:bookmarkStart w:id="30" w:name="_Ref449678105"/>
    <w:bookmarkStart w:id="31" w:name="_Ref174151459"/>
    <w:bookmarkStart w:id="32" w:name="_Ref189809556"/>
    <w:p w14:paraId="533B62B2" w14:textId="77777777" w:rsidR="00137B28" w:rsidRPr="00137B28" w:rsidRDefault="00137B28" w:rsidP="00137B28">
      <w:pPr>
        <w:pStyle w:val="Reference"/>
        <w:numPr>
          <w:ilvl w:val="0"/>
          <w:numId w:val="18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/>
          <w:lang w:val="en-US" w:eastAsia="en-US"/>
        </w:rPr>
      </w:pPr>
      <w:r>
        <w:fldChar w:fldCharType="begin"/>
      </w:r>
      <w:r>
        <w:instrText xml:space="preserve"> HYPERLINK "http://www.3gpp.org/ftp/tsg_ran/TSG_RAN/TSGR_75/Docs/RP-170732.zip" </w:instrText>
      </w:r>
      <w:r>
        <w:fldChar w:fldCharType="separate"/>
      </w:r>
      <w:r>
        <w:rPr>
          <w:rStyle w:val="Hyperlink"/>
          <w:rFonts w:eastAsia="MS Mincho"/>
          <w:iCs/>
          <w:lang w:eastAsia="ja-JP"/>
        </w:rPr>
        <w:t>RP-170732</w:t>
      </w:r>
      <w:r>
        <w:fldChar w:fldCharType="end"/>
      </w:r>
      <w:r>
        <w:t>, “New</w:t>
      </w:r>
      <w:bookmarkEnd w:id="29"/>
      <w:bookmarkEnd w:id="30"/>
      <w:r>
        <w:t xml:space="preserve"> WID on Even further enhanced MTC for LTE”, RAN#75, March 2017. </w:t>
      </w:r>
    </w:p>
    <w:p w14:paraId="720B929B" w14:textId="655536B4" w:rsidR="005F3025" w:rsidRPr="00B662AE" w:rsidRDefault="00137B28" w:rsidP="00137B28">
      <w:pPr>
        <w:pStyle w:val="Reference"/>
      </w:pPr>
      <w:r>
        <w:rPr>
          <w:lang w:val="en-US"/>
        </w:rPr>
        <w:t>Chairman notes. RAN1#89</w:t>
      </w:r>
    </w:p>
    <w:p w14:paraId="11207AAC" w14:textId="6696D185" w:rsidR="00B662AE" w:rsidRPr="00CE0424" w:rsidRDefault="00B662AE" w:rsidP="00B662AE">
      <w:pPr>
        <w:pStyle w:val="Reference"/>
      </w:pPr>
      <w:r w:rsidRPr="00B662AE">
        <w:rPr>
          <w:rFonts w:eastAsia="MS Mincho"/>
          <w:iCs/>
          <w:lang w:eastAsia="ja-JP"/>
        </w:rPr>
        <w:t>R</w:t>
      </w:r>
      <w:r>
        <w:rPr>
          <w:rFonts w:eastAsia="MS Mincho"/>
          <w:iCs/>
          <w:lang w:eastAsia="ja-JP"/>
        </w:rPr>
        <w:t>2</w:t>
      </w:r>
      <w:r w:rsidRPr="00B662AE">
        <w:rPr>
          <w:rFonts w:eastAsia="MS Mincho"/>
          <w:iCs/>
          <w:lang w:eastAsia="ja-JP"/>
        </w:rPr>
        <w:t>-170</w:t>
      </w:r>
      <w:r>
        <w:rPr>
          <w:rFonts w:eastAsia="MS Mincho"/>
          <w:iCs/>
          <w:lang w:eastAsia="ja-JP"/>
        </w:rPr>
        <w:t>8635</w:t>
      </w:r>
      <w:r>
        <w:t>, “</w:t>
      </w:r>
      <w:r w:rsidRPr="00B662AE">
        <w:t>Increased PDSCH spectral efficiency</w:t>
      </w:r>
      <w:r>
        <w:t>”, RAN2#99, Berlin, Germany, August 2017.</w:t>
      </w:r>
    </w:p>
    <w:bookmarkEnd w:id="31"/>
    <w:bookmarkEnd w:id="32"/>
    <w:p w14:paraId="5B2FAE0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8E7C4" w14:textId="77777777" w:rsidR="00452821" w:rsidRDefault="00452821">
      <w:r>
        <w:separator/>
      </w:r>
    </w:p>
  </w:endnote>
  <w:endnote w:type="continuationSeparator" w:id="0">
    <w:p w14:paraId="2C86BC69" w14:textId="77777777" w:rsidR="00452821" w:rsidRDefault="00452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8C5C" w14:textId="77777777" w:rsidR="00A85173" w:rsidRDefault="00A851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325BD" w14:textId="56ACF1F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517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517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2930B" w14:textId="77777777" w:rsidR="00A85173" w:rsidRDefault="00A8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BA225" w14:textId="77777777" w:rsidR="00452821" w:rsidRDefault="00452821">
      <w:r>
        <w:separator/>
      </w:r>
    </w:p>
  </w:footnote>
  <w:footnote w:type="continuationSeparator" w:id="0">
    <w:p w14:paraId="69477364" w14:textId="77777777" w:rsidR="00452821" w:rsidRDefault="00452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98157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1A2AB" w14:textId="77777777" w:rsidR="00A85173" w:rsidRDefault="00A851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77A3F" w14:textId="77777777" w:rsidR="00A85173" w:rsidRDefault="00A85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E81E7B"/>
    <w:multiLevelType w:val="hybridMultilevel"/>
    <w:tmpl w:val="0E540862"/>
    <w:lvl w:ilvl="0" w:tplc="E05E145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5CDB1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7AA33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A2DD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7293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EA00A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9D4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1A4D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885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43CF7"/>
    <w:multiLevelType w:val="hybridMultilevel"/>
    <w:tmpl w:val="258C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B191C"/>
    <w:multiLevelType w:val="hybridMultilevel"/>
    <w:tmpl w:val="DB70F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6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1FA"/>
    <w:rsid w:val="000006E1"/>
    <w:rsid w:val="00002A37"/>
    <w:rsid w:val="000039F4"/>
    <w:rsid w:val="00006446"/>
    <w:rsid w:val="00006896"/>
    <w:rsid w:val="00007CDC"/>
    <w:rsid w:val="00011B28"/>
    <w:rsid w:val="00015D15"/>
    <w:rsid w:val="00021B03"/>
    <w:rsid w:val="0002564D"/>
    <w:rsid w:val="00025ECA"/>
    <w:rsid w:val="000325B8"/>
    <w:rsid w:val="000346FC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D8D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97E"/>
    <w:rsid w:val="000F6DF3"/>
    <w:rsid w:val="001005FF"/>
    <w:rsid w:val="001062FB"/>
    <w:rsid w:val="001063E6"/>
    <w:rsid w:val="001129B9"/>
    <w:rsid w:val="00113CF4"/>
    <w:rsid w:val="001153EA"/>
    <w:rsid w:val="00115643"/>
    <w:rsid w:val="00116765"/>
    <w:rsid w:val="0011723D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B28"/>
    <w:rsid w:val="00137F0B"/>
    <w:rsid w:val="00151E23"/>
    <w:rsid w:val="001526E0"/>
    <w:rsid w:val="001551B5"/>
    <w:rsid w:val="001659C1"/>
    <w:rsid w:val="00173A8E"/>
    <w:rsid w:val="00177795"/>
    <w:rsid w:val="0018143F"/>
    <w:rsid w:val="00181E83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36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25F71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821"/>
    <w:rsid w:val="00452CAC"/>
    <w:rsid w:val="00457565"/>
    <w:rsid w:val="00457B71"/>
    <w:rsid w:val="004669E2"/>
    <w:rsid w:val="00470C31"/>
    <w:rsid w:val="004734D0"/>
    <w:rsid w:val="0047556B"/>
    <w:rsid w:val="00475E59"/>
    <w:rsid w:val="00477768"/>
    <w:rsid w:val="00477C3A"/>
    <w:rsid w:val="00492BC5"/>
    <w:rsid w:val="004964F1"/>
    <w:rsid w:val="004A16BC"/>
    <w:rsid w:val="004A2B94"/>
    <w:rsid w:val="004B7C0C"/>
    <w:rsid w:val="004C2DB9"/>
    <w:rsid w:val="004C3898"/>
    <w:rsid w:val="004D2F58"/>
    <w:rsid w:val="004D36B1"/>
    <w:rsid w:val="004D7EBD"/>
    <w:rsid w:val="004E1F63"/>
    <w:rsid w:val="004E2680"/>
    <w:rsid w:val="004E28F9"/>
    <w:rsid w:val="004E462E"/>
    <w:rsid w:val="004E56DC"/>
    <w:rsid w:val="004E76F4"/>
    <w:rsid w:val="004F04A9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24EC"/>
    <w:rsid w:val="00572505"/>
    <w:rsid w:val="0058190A"/>
    <w:rsid w:val="00582809"/>
    <w:rsid w:val="00584C42"/>
    <w:rsid w:val="00585F57"/>
    <w:rsid w:val="0058798C"/>
    <w:rsid w:val="005900FA"/>
    <w:rsid w:val="005935A4"/>
    <w:rsid w:val="005948C2"/>
    <w:rsid w:val="00595DCA"/>
    <w:rsid w:val="00597398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2DB6"/>
    <w:rsid w:val="005F3025"/>
    <w:rsid w:val="005F618C"/>
    <w:rsid w:val="005F70BD"/>
    <w:rsid w:val="0060106F"/>
    <w:rsid w:val="0060283C"/>
    <w:rsid w:val="00604F14"/>
    <w:rsid w:val="00611B83"/>
    <w:rsid w:val="00611F1F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A07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6B85"/>
    <w:rsid w:val="006C7522"/>
    <w:rsid w:val="006D6F08"/>
    <w:rsid w:val="006D7A42"/>
    <w:rsid w:val="006E062C"/>
    <w:rsid w:val="006E28B7"/>
    <w:rsid w:val="006E3310"/>
    <w:rsid w:val="006E4E39"/>
    <w:rsid w:val="006E565E"/>
    <w:rsid w:val="006E673D"/>
    <w:rsid w:val="006E7D3B"/>
    <w:rsid w:val="006F1B70"/>
    <w:rsid w:val="006F2206"/>
    <w:rsid w:val="006F341D"/>
    <w:rsid w:val="006F3CDE"/>
    <w:rsid w:val="006F58D4"/>
    <w:rsid w:val="0070346E"/>
    <w:rsid w:val="00704EDB"/>
    <w:rsid w:val="00706101"/>
    <w:rsid w:val="00707072"/>
    <w:rsid w:val="00707282"/>
    <w:rsid w:val="00707D61"/>
    <w:rsid w:val="00710F42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4F02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BF5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6DF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292"/>
    <w:rsid w:val="00994DCA"/>
    <w:rsid w:val="009960EC"/>
    <w:rsid w:val="00997022"/>
    <w:rsid w:val="009970DD"/>
    <w:rsid w:val="009A0FBA"/>
    <w:rsid w:val="009A1601"/>
    <w:rsid w:val="009A462D"/>
    <w:rsid w:val="009A4D1F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517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140"/>
    <w:rsid w:val="00AD0AA3"/>
    <w:rsid w:val="00AD21B7"/>
    <w:rsid w:val="00AD3F94"/>
    <w:rsid w:val="00AD4A5A"/>
    <w:rsid w:val="00AE27AC"/>
    <w:rsid w:val="00AE3743"/>
    <w:rsid w:val="00AE40E0"/>
    <w:rsid w:val="00AE4DBA"/>
    <w:rsid w:val="00AE4F07"/>
    <w:rsid w:val="00AE5677"/>
    <w:rsid w:val="00AF1C5D"/>
    <w:rsid w:val="00AF42D7"/>
    <w:rsid w:val="00B006FE"/>
    <w:rsid w:val="00B007CB"/>
    <w:rsid w:val="00B02AA9"/>
    <w:rsid w:val="00B02FA3"/>
    <w:rsid w:val="00B05084"/>
    <w:rsid w:val="00B135BF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5174"/>
    <w:rsid w:val="00B6188F"/>
    <w:rsid w:val="00B662AE"/>
    <w:rsid w:val="00B664C7"/>
    <w:rsid w:val="00B6659B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33E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6AC9"/>
    <w:rsid w:val="00C544E1"/>
    <w:rsid w:val="00C54995"/>
    <w:rsid w:val="00C54D41"/>
    <w:rsid w:val="00C56872"/>
    <w:rsid w:val="00C60783"/>
    <w:rsid w:val="00C64672"/>
    <w:rsid w:val="00C70697"/>
    <w:rsid w:val="00C70B02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AB7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1A75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3641"/>
    <w:rsid w:val="00D546FF"/>
    <w:rsid w:val="00D55AD5"/>
    <w:rsid w:val="00D576CA"/>
    <w:rsid w:val="00D60867"/>
    <w:rsid w:val="00D61AF5"/>
    <w:rsid w:val="00D65256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191F"/>
    <w:rsid w:val="00E22330"/>
    <w:rsid w:val="00E2672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1C9B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934"/>
    <w:rsid w:val="00EA7A41"/>
    <w:rsid w:val="00EB077B"/>
    <w:rsid w:val="00EB4EA2"/>
    <w:rsid w:val="00EC27C6"/>
    <w:rsid w:val="00EC4207"/>
    <w:rsid w:val="00EC5653"/>
    <w:rsid w:val="00EC71CE"/>
    <w:rsid w:val="00ED1006"/>
    <w:rsid w:val="00ED6B12"/>
    <w:rsid w:val="00EF18FE"/>
    <w:rsid w:val="00EF5787"/>
    <w:rsid w:val="00EF60D0"/>
    <w:rsid w:val="00F01E46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1FA"/>
    <w:rsid w:val="00F40F0C"/>
    <w:rsid w:val="00F4766C"/>
    <w:rsid w:val="00F507D1"/>
    <w:rsid w:val="00F519CE"/>
    <w:rsid w:val="00F51ADA"/>
    <w:rsid w:val="00F53764"/>
    <w:rsid w:val="00F607C5"/>
    <w:rsid w:val="00F60DEA"/>
    <w:rsid w:val="00F6302A"/>
    <w:rsid w:val="00F64C2B"/>
    <w:rsid w:val="00F651BE"/>
    <w:rsid w:val="00F67F53"/>
    <w:rsid w:val="00F703BE"/>
    <w:rsid w:val="00F7048A"/>
    <w:rsid w:val="00F71F69"/>
    <w:rsid w:val="00F72B72"/>
    <w:rsid w:val="00F73DF6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2618"/>
    <w:rsid w:val="00FB4C80"/>
    <w:rsid w:val="00FB6A6A"/>
    <w:rsid w:val="00FC688E"/>
    <w:rsid w:val="00FC7429"/>
    <w:rsid w:val="00FD07F6"/>
    <w:rsid w:val="00FD1EC8"/>
    <w:rsid w:val="00FD47ED"/>
    <w:rsid w:val="00FD74DB"/>
    <w:rsid w:val="00FD7660"/>
    <w:rsid w:val="00FD7F01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B88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942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9429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942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942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942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942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9429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9429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942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942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42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292"/>
  </w:style>
  <w:style w:type="paragraph" w:styleId="TOC8">
    <w:name w:val="toc 8"/>
    <w:basedOn w:val="TOC1"/>
    <w:semiHidden/>
    <w:rsid w:val="0099429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942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9429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9429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9429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94292"/>
    <w:pPr>
      <w:ind w:left="1418" w:hanging="1418"/>
    </w:pPr>
  </w:style>
  <w:style w:type="paragraph" w:styleId="TOC3">
    <w:name w:val="toc 3"/>
    <w:basedOn w:val="TOC2"/>
    <w:semiHidden/>
    <w:rsid w:val="00994292"/>
    <w:pPr>
      <w:ind w:left="1134" w:hanging="1134"/>
    </w:pPr>
  </w:style>
  <w:style w:type="paragraph" w:styleId="TOC2">
    <w:name w:val="toc 2"/>
    <w:basedOn w:val="TOC1"/>
    <w:semiHidden/>
    <w:rsid w:val="0099429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94292"/>
    <w:pPr>
      <w:ind w:left="284"/>
    </w:pPr>
  </w:style>
  <w:style w:type="paragraph" w:styleId="Index1">
    <w:name w:val="index 1"/>
    <w:basedOn w:val="Normal"/>
    <w:semiHidden/>
    <w:rsid w:val="00994292"/>
    <w:pPr>
      <w:keepLines/>
      <w:spacing w:after="0"/>
    </w:pPr>
  </w:style>
  <w:style w:type="paragraph" w:styleId="DocumentMap">
    <w:name w:val="Document Map"/>
    <w:basedOn w:val="Normal"/>
    <w:semiHidden/>
    <w:rsid w:val="0099429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94292"/>
    <w:pPr>
      <w:ind w:left="851"/>
    </w:pPr>
  </w:style>
  <w:style w:type="paragraph" w:styleId="ListNumber">
    <w:name w:val="List Number"/>
    <w:basedOn w:val="List"/>
    <w:rsid w:val="00994292"/>
  </w:style>
  <w:style w:type="paragraph" w:styleId="List">
    <w:name w:val="List"/>
    <w:basedOn w:val="Normal"/>
    <w:rsid w:val="00994292"/>
    <w:pPr>
      <w:ind w:left="568" w:hanging="284"/>
    </w:pPr>
  </w:style>
  <w:style w:type="paragraph" w:styleId="Header">
    <w:name w:val="header"/>
    <w:rsid w:val="009942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9429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9429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942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94292"/>
    <w:pPr>
      <w:ind w:left="1418" w:hanging="1418"/>
    </w:pPr>
  </w:style>
  <w:style w:type="paragraph" w:styleId="TOC6">
    <w:name w:val="toc 6"/>
    <w:basedOn w:val="TOC5"/>
    <w:next w:val="Normal"/>
    <w:semiHidden/>
    <w:rsid w:val="00994292"/>
    <w:pPr>
      <w:ind w:left="1985" w:hanging="1985"/>
    </w:pPr>
  </w:style>
  <w:style w:type="paragraph" w:styleId="TOC7">
    <w:name w:val="toc 7"/>
    <w:basedOn w:val="TOC6"/>
    <w:next w:val="Normal"/>
    <w:semiHidden/>
    <w:rsid w:val="00994292"/>
    <w:pPr>
      <w:ind w:left="2268" w:hanging="2268"/>
    </w:pPr>
  </w:style>
  <w:style w:type="paragraph" w:styleId="ListBullet2">
    <w:name w:val="List Bullet 2"/>
    <w:basedOn w:val="ListBullet"/>
    <w:rsid w:val="00994292"/>
    <w:pPr>
      <w:numPr>
        <w:numId w:val="6"/>
      </w:numPr>
    </w:pPr>
  </w:style>
  <w:style w:type="paragraph" w:styleId="ListBullet">
    <w:name w:val="List Bullet"/>
    <w:basedOn w:val="BodyText"/>
    <w:rsid w:val="00994292"/>
    <w:pPr>
      <w:numPr>
        <w:numId w:val="5"/>
      </w:numPr>
    </w:pPr>
  </w:style>
  <w:style w:type="paragraph" w:styleId="ListBullet3">
    <w:name w:val="List Bullet 3"/>
    <w:basedOn w:val="ListBullet2"/>
    <w:rsid w:val="00994292"/>
    <w:pPr>
      <w:numPr>
        <w:numId w:val="7"/>
      </w:numPr>
    </w:pPr>
  </w:style>
  <w:style w:type="paragraph" w:customStyle="1" w:styleId="EQ">
    <w:name w:val="EQ"/>
    <w:basedOn w:val="Normal"/>
    <w:next w:val="Normal"/>
    <w:rsid w:val="0099429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94292"/>
    <w:pPr>
      <w:ind w:left="851"/>
    </w:pPr>
  </w:style>
  <w:style w:type="paragraph" w:styleId="List3">
    <w:name w:val="List 3"/>
    <w:basedOn w:val="List2"/>
    <w:rsid w:val="00994292"/>
    <w:pPr>
      <w:ind w:left="1135"/>
    </w:pPr>
  </w:style>
  <w:style w:type="paragraph" w:styleId="List4">
    <w:name w:val="List 4"/>
    <w:basedOn w:val="List3"/>
    <w:rsid w:val="00994292"/>
    <w:pPr>
      <w:ind w:left="1418"/>
    </w:pPr>
  </w:style>
  <w:style w:type="paragraph" w:styleId="List5">
    <w:name w:val="List 5"/>
    <w:basedOn w:val="List4"/>
    <w:rsid w:val="00994292"/>
    <w:pPr>
      <w:ind w:left="1702"/>
    </w:pPr>
  </w:style>
  <w:style w:type="paragraph" w:customStyle="1" w:styleId="EditorsNote">
    <w:name w:val="Editor's Note"/>
    <w:basedOn w:val="Normal"/>
    <w:rsid w:val="009942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94292"/>
    <w:pPr>
      <w:numPr>
        <w:numId w:val="8"/>
      </w:numPr>
    </w:pPr>
  </w:style>
  <w:style w:type="paragraph" w:styleId="ListBullet5">
    <w:name w:val="List Bullet 5"/>
    <w:basedOn w:val="ListBullet4"/>
    <w:rsid w:val="00994292"/>
    <w:pPr>
      <w:numPr>
        <w:numId w:val="4"/>
      </w:numPr>
    </w:pPr>
  </w:style>
  <w:style w:type="paragraph" w:styleId="Footer">
    <w:name w:val="footer"/>
    <w:basedOn w:val="Header"/>
    <w:semiHidden/>
    <w:rsid w:val="0099429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94292"/>
    <w:pPr>
      <w:numPr>
        <w:numId w:val="2"/>
      </w:numPr>
    </w:pPr>
  </w:style>
  <w:style w:type="paragraph" w:styleId="BalloonText">
    <w:name w:val="Balloon Text"/>
    <w:basedOn w:val="Normal"/>
    <w:semiHidden/>
    <w:rsid w:val="0099429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94292"/>
  </w:style>
  <w:style w:type="paragraph" w:styleId="BodyText">
    <w:name w:val="Body Text"/>
    <w:basedOn w:val="Normal"/>
    <w:link w:val="BodyTextChar"/>
    <w:rsid w:val="00994292"/>
  </w:style>
  <w:style w:type="character" w:styleId="Hyperlink">
    <w:name w:val="Hyperlink"/>
    <w:uiPriority w:val="99"/>
    <w:rsid w:val="00994292"/>
    <w:rPr>
      <w:color w:val="0000FF"/>
      <w:u w:val="single"/>
      <w:lang w:val="en-GB"/>
    </w:rPr>
  </w:style>
  <w:style w:type="character" w:styleId="FollowedHyperlink">
    <w:name w:val="FollowedHyperlink"/>
    <w:semiHidden/>
    <w:rsid w:val="00994292"/>
    <w:rPr>
      <w:color w:val="FF0000"/>
      <w:u w:val="single"/>
    </w:rPr>
  </w:style>
  <w:style w:type="character" w:styleId="CommentReference">
    <w:name w:val="annotation reference"/>
    <w:semiHidden/>
    <w:rsid w:val="00994292"/>
    <w:rPr>
      <w:sz w:val="16"/>
      <w:szCs w:val="16"/>
    </w:rPr>
  </w:style>
  <w:style w:type="paragraph" w:styleId="CommentText">
    <w:name w:val="annotation text"/>
    <w:basedOn w:val="Normal"/>
    <w:semiHidden/>
    <w:rsid w:val="00994292"/>
  </w:style>
  <w:style w:type="paragraph" w:styleId="CommentSubject">
    <w:name w:val="annotation subject"/>
    <w:basedOn w:val="CommentText"/>
    <w:next w:val="CommentText"/>
    <w:semiHidden/>
    <w:rsid w:val="00994292"/>
    <w:rPr>
      <w:b/>
      <w:bCs/>
    </w:rPr>
  </w:style>
  <w:style w:type="character" w:customStyle="1" w:styleId="Heading1Char">
    <w:name w:val="Heading 1 Char"/>
    <w:link w:val="Heading1"/>
    <w:rsid w:val="0099429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429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429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429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42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9429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9429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9429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42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4292"/>
    <w:pPr>
      <w:spacing w:after="0"/>
    </w:pPr>
  </w:style>
  <w:style w:type="paragraph" w:customStyle="1" w:styleId="TAL">
    <w:name w:val="TAL"/>
    <w:basedOn w:val="Normal"/>
    <w:rsid w:val="0099429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4292"/>
    <w:pPr>
      <w:jc w:val="center"/>
    </w:pPr>
  </w:style>
  <w:style w:type="paragraph" w:customStyle="1" w:styleId="TAH">
    <w:name w:val="TAH"/>
    <w:basedOn w:val="TAC"/>
    <w:rsid w:val="00994292"/>
    <w:rPr>
      <w:b/>
    </w:rPr>
  </w:style>
  <w:style w:type="paragraph" w:customStyle="1" w:styleId="TAN">
    <w:name w:val="TAN"/>
    <w:basedOn w:val="TAL"/>
    <w:rsid w:val="00994292"/>
    <w:pPr>
      <w:ind w:left="851" w:hanging="851"/>
    </w:pPr>
  </w:style>
  <w:style w:type="paragraph" w:customStyle="1" w:styleId="TAR">
    <w:name w:val="TAR"/>
    <w:basedOn w:val="TAL"/>
    <w:rsid w:val="00994292"/>
    <w:pPr>
      <w:jc w:val="right"/>
    </w:pPr>
  </w:style>
  <w:style w:type="paragraph" w:customStyle="1" w:styleId="TH">
    <w:name w:val="TH"/>
    <w:basedOn w:val="Normal"/>
    <w:rsid w:val="009942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429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429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42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42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42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42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4292"/>
  </w:style>
  <w:style w:type="paragraph" w:customStyle="1" w:styleId="ZH">
    <w:name w:val="ZH"/>
    <w:rsid w:val="009942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42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429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42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4292"/>
    <w:pPr>
      <w:framePr w:wrap="notBeside" w:y="16161"/>
    </w:pPr>
  </w:style>
  <w:style w:type="paragraph" w:customStyle="1" w:styleId="FP">
    <w:name w:val="FP"/>
    <w:basedOn w:val="Normal"/>
    <w:rsid w:val="009942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9429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9429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9429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9429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11723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image003.png@01D2E068.A6DE41D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8F5A276-3787-4A0D-B8E1-4F6B046CC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2017-08-11T22:33:00Z</dcterms:created>
  <dcterms:modified xsi:type="dcterms:W3CDTF">2017-08-11T22:33:00Z</dcterms:modified>
</cp:coreProperties>
</file>